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F1BB5">
      <w:pPr>
        <w:spacing w:line="460" w:lineRule="exact"/>
        <w:jc w:val="center"/>
        <w:rPr>
          <w:rFonts w:hint="default" w:asciiTheme="minorEastAsia" w:hAnsiTheme="minorEastAsia" w:eastAsiaTheme="minorEastAsia" w:cstheme="minorEastAsia"/>
          <w:color w:val="auto"/>
          <w:sz w:val="44"/>
          <w:szCs w:val="4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44"/>
          <w:szCs w:val="44"/>
          <w:lang w:val="en-US" w:eastAsia="zh-CN"/>
        </w:rPr>
        <w:t>采购需求</w:t>
      </w:r>
    </w:p>
    <w:p w14:paraId="5D6A844F">
      <w:pPr>
        <w:spacing w:line="460" w:lineRule="exact"/>
        <w:rPr>
          <w:rFonts w:hint="eastAsia" w:asciiTheme="minorEastAsia" w:hAnsiTheme="minorEastAsia" w:cstheme="minorEastAsia"/>
          <w:b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</w:rPr>
        <w:t>一、项目概况</w:t>
      </w:r>
    </w:p>
    <w:p w14:paraId="5C01A066">
      <w:pPr>
        <w:spacing w:line="460" w:lineRule="exact"/>
        <w:rPr>
          <w:rFonts w:hint="eastAsia"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1、</w:t>
      </w:r>
      <w:r>
        <w:rPr>
          <w:rFonts w:hint="eastAsia" w:asciiTheme="minorEastAsia" w:hAnsiTheme="minorEastAsia" w:cstheme="minorEastAsia"/>
          <w:color w:val="auto"/>
          <w:sz w:val="24"/>
        </w:rPr>
        <w:t>项目名称：中山市第三人民医院网络安全设备版本续保升级采购项目</w:t>
      </w:r>
    </w:p>
    <w:p w14:paraId="3F50BE1E">
      <w:pPr>
        <w:spacing w:line="460" w:lineRule="exact"/>
        <w:rPr>
          <w:rFonts w:hint="eastAsia"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2、</w:t>
      </w:r>
      <w:r>
        <w:rPr>
          <w:rFonts w:hint="eastAsia" w:asciiTheme="minorEastAsia" w:hAnsiTheme="minorEastAsia" w:cstheme="minorEastAsia"/>
          <w:color w:val="auto"/>
          <w:sz w:val="24"/>
        </w:rPr>
        <w:t>项目背景：现有网络安全设备及服务（含防火墙、杀毒系统、安全感知平台等）软件升级，为保障医院网络系统安全稳定运行，防范网络攻击、数据泄露等风险，需采购网络安全升级服务，覆盖边界防护、终端安全、行为管理、云安全订阅等全维度防护体系。</w:t>
      </w:r>
    </w:p>
    <w:p w14:paraId="34E7EB0A">
      <w:pPr>
        <w:spacing w:line="460" w:lineRule="exact"/>
        <w:rPr>
          <w:rFonts w:hint="default" w:asciiTheme="minorEastAsia" w:hAnsiTheme="minorEastAsia" w:eastAsiaTheme="minorEastAsia" w:cstheme="minorEastAsia"/>
          <w:color w:val="auto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3、项目预算：98000.00元。</w:t>
      </w:r>
    </w:p>
    <w:p w14:paraId="4F696996">
      <w:pPr>
        <w:spacing w:line="460" w:lineRule="exact"/>
        <w:rPr>
          <w:rFonts w:hint="eastAsia" w:asciiTheme="minorEastAsia" w:hAnsiTheme="minorEastAsia" w:cstheme="minorEastAsia"/>
          <w:b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</w:rPr>
        <w:t>二、核心采购需求</w:t>
      </w:r>
    </w:p>
    <w:p w14:paraId="38B8B94B">
      <w:pPr>
        <w:spacing w:line="460" w:lineRule="exact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本次采购共涵盖5类网络安全升级服务，涉及9类关键设备/系统，具体需求如下表所示：</w:t>
      </w:r>
    </w:p>
    <w:tbl>
      <w:tblPr>
        <w:tblStyle w:val="4"/>
        <w:tblW w:w="0" w:type="auto"/>
        <w:tblCellSpacing w:w="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1"/>
        <w:gridCol w:w="1476"/>
        <w:gridCol w:w="2332"/>
        <w:gridCol w:w="3927"/>
      </w:tblGrid>
      <w:tr w14:paraId="72F6F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tblCellSpacing w:w="15" w:type="dxa"/>
        </w:trPr>
        <w:tc>
          <w:tcPr>
            <w:tcW w:w="586" w:type="dxa"/>
            <w:tcBorders>
              <w:tl2br w:val="nil"/>
              <w:tr2bl w:val="nil"/>
            </w:tcBorders>
            <w:shd w:val="clear" w:color="auto" w:fill="4874CB" w:themeFill="accent1"/>
            <w:vAlign w:val="center"/>
          </w:tcPr>
          <w:p w14:paraId="1782EC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446" w:type="dxa"/>
            <w:tcBorders>
              <w:tl2br w:val="nil"/>
              <w:tr2bl w:val="nil"/>
            </w:tcBorders>
            <w:shd w:val="clear" w:color="auto" w:fill="4874CB" w:themeFill="accent1"/>
            <w:vAlign w:val="center"/>
          </w:tcPr>
          <w:p w14:paraId="5AC2A6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auto"/>
                <w:sz w:val="24"/>
                <w:szCs w:val="24"/>
                <w:lang w:val="en-US" w:eastAsia="zh-CN"/>
              </w:rPr>
              <w:t>升级服务类型</w:t>
            </w:r>
          </w:p>
        </w:tc>
        <w:tc>
          <w:tcPr>
            <w:tcW w:w="2302" w:type="dxa"/>
            <w:tcBorders>
              <w:tl2br w:val="nil"/>
              <w:tr2bl w:val="nil"/>
            </w:tcBorders>
            <w:shd w:val="clear" w:color="auto" w:fill="4874CB" w:themeFill="accent1"/>
            <w:vAlign w:val="center"/>
          </w:tcPr>
          <w:p w14:paraId="20039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auto"/>
                <w:sz w:val="24"/>
                <w:szCs w:val="24"/>
                <w:lang w:val="en-US" w:eastAsia="zh-CN"/>
              </w:rPr>
              <w:t>涉及设备/系统</w:t>
            </w:r>
          </w:p>
        </w:tc>
        <w:tc>
          <w:tcPr>
            <w:tcW w:w="3882" w:type="dxa"/>
            <w:tcBorders>
              <w:tl2br w:val="nil"/>
              <w:tr2bl w:val="nil"/>
            </w:tcBorders>
            <w:shd w:val="clear" w:color="auto" w:fill="4874CB" w:themeFill="accent1"/>
            <w:vAlign w:val="center"/>
          </w:tcPr>
          <w:p w14:paraId="1F021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auto"/>
                <w:sz w:val="24"/>
                <w:szCs w:val="24"/>
                <w:lang w:val="en-US" w:eastAsia="zh-CN"/>
              </w:rPr>
              <w:t>服务内容要求</w:t>
            </w:r>
          </w:p>
        </w:tc>
      </w:tr>
      <w:tr w14:paraId="7C8CB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58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43ED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4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5984A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软件版本升级</w:t>
            </w:r>
          </w:p>
        </w:tc>
        <w:tc>
          <w:tcPr>
            <w:tcW w:w="23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520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EDR杀毒系统</w:t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*1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授权数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服务器端</w:t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*50台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+PC端</w:t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*500台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）、安全感知平台</w:t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*1</w:t>
            </w:r>
          </w:p>
        </w:tc>
        <w:tc>
          <w:tcPr>
            <w:tcW w:w="388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F3026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提供软件功能更新、性能优化、兼容性提升，确保终端及感知平台防护能力同步迭代</w:t>
            </w:r>
          </w:p>
        </w:tc>
      </w:tr>
      <w:tr w14:paraId="0A1F7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586" w:type="dxa"/>
            <w:tcBorders>
              <w:tl2br w:val="nil"/>
              <w:tr2bl w:val="nil"/>
            </w:tcBorders>
            <w:shd w:val="clear" w:color="auto" w:fill="EDF1F9" w:themeFill="accent1" w:themeFillTint="19"/>
            <w:vAlign w:val="center"/>
          </w:tcPr>
          <w:p w14:paraId="59922C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46" w:type="dxa"/>
            <w:tcBorders>
              <w:tl2br w:val="nil"/>
              <w:tr2bl w:val="nil"/>
            </w:tcBorders>
            <w:shd w:val="clear" w:color="auto" w:fill="EDF1F9" w:themeFill="accent1" w:themeFillTint="19"/>
            <w:vAlign w:val="center"/>
          </w:tcPr>
          <w:p w14:paraId="0FABE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特征库/规则库升级</w:t>
            </w:r>
          </w:p>
        </w:tc>
        <w:tc>
          <w:tcPr>
            <w:tcW w:w="2302" w:type="dxa"/>
            <w:tcBorders>
              <w:tl2br w:val="nil"/>
              <w:tr2bl w:val="nil"/>
            </w:tcBorders>
            <w:shd w:val="clear" w:color="auto" w:fill="EDF1F9" w:themeFill="accent1" w:themeFillTint="19"/>
            <w:vAlign w:val="center"/>
          </w:tcPr>
          <w:p w14:paraId="30F90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上网行为管理系统</w:t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（AC）*1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、准入控制系统</w:t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（AC）*1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、安全感知平台</w:t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*1</w:t>
            </w:r>
          </w:p>
        </w:tc>
        <w:tc>
          <w:tcPr>
            <w:tcW w:w="3882" w:type="dxa"/>
            <w:tcBorders>
              <w:tl2br w:val="nil"/>
              <w:tr2bl w:val="nil"/>
            </w:tcBorders>
            <w:shd w:val="clear" w:color="auto" w:fill="EDF1F9" w:themeFill="accent1" w:themeFillTint="19"/>
            <w:vAlign w:val="center"/>
          </w:tcPr>
          <w:p w14:paraId="60775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含URL识别规则库、应用识别规则库、安全特征库实时（或每日）更新，精准识别新型网络威胁</w:t>
            </w:r>
          </w:p>
        </w:tc>
      </w:tr>
      <w:tr w14:paraId="11D89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58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4887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4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C3D1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安全防护模块升级</w:t>
            </w:r>
          </w:p>
        </w:tc>
        <w:tc>
          <w:tcPr>
            <w:tcW w:w="23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4C301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互联网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防火墙</w:t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*1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、内网防火墙</w:t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*2</w:t>
            </w:r>
          </w:p>
        </w:tc>
        <w:tc>
          <w:tcPr>
            <w:tcW w:w="388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C231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提供网关杀毒升级许可、IPS漏洞防护模块更新，强化边界恶意代码拦截及攻击防御能力</w:t>
            </w:r>
          </w:p>
        </w:tc>
      </w:tr>
      <w:tr w14:paraId="26D8F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586" w:type="dxa"/>
            <w:tcBorders>
              <w:tl2br w:val="nil"/>
              <w:tr2bl w:val="nil"/>
            </w:tcBorders>
            <w:shd w:val="clear" w:color="auto" w:fill="EDF1F9" w:themeFill="accent1" w:themeFillTint="19"/>
            <w:vAlign w:val="center"/>
          </w:tcPr>
          <w:p w14:paraId="4C2A8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46" w:type="dxa"/>
            <w:tcBorders>
              <w:tl2br w:val="nil"/>
              <w:tr2bl w:val="nil"/>
            </w:tcBorders>
            <w:shd w:val="clear" w:color="auto" w:fill="EDF1F9" w:themeFill="accent1" w:themeFillTint="19"/>
            <w:vAlign w:val="center"/>
          </w:tcPr>
          <w:p w14:paraId="5F633E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技术服务支持升级</w:t>
            </w:r>
          </w:p>
        </w:tc>
        <w:tc>
          <w:tcPr>
            <w:tcW w:w="2302" w:type="dxa"/>
            <w:tcBorders>
              <w:tl2br w:val="nil"/>
              <w:tr2bl w:val="nil"/>
            </w:tcBorders>
            <w:shd w:val="clear" w:color="auto" w:fill="EDF1F9" w:themeFill="accent1" w:themeFillTint="19"/>
            <w:vAlign w:val="center"/>
          </w:tcPr>
          <w:p w14:paraId="53FDB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超融合平台、准入控制系统</w:t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（AC）*1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、零信任安全系统</w:t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*1</w:t>
            </w:r>
          </w:p>
        </w:tc>
        <w:tc>
          <w:tcPr>
            <w:tcW w:w="3882" w:type="dxa"/>
            <w:tcBorders>
              <w:tl2br w:val="nil"/>
              <w:tr2bl w:val="nil"/>
            </w:tcBorders>
            <w:shd w:val="clear" w:color="auto" w:fill="EDF1F9" w:themeFill="accent1" w:themeFillTint="19"/>
            <w:vAlign w:val="center"/>
          </w:tcPr>
          <w:p w14:paraId="3DB00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提供标准版维保服务，含7x24小时技术咨询、远程故障处理、现场支持（必要时）</w:t>
            </w:r>
          </w:p>
        </w:tc>
      </w:tr>
      <w:tr w14:paraId="22ACF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58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89F0B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CB047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安全订阅服务升级</w:t>
            </w:r>
          </w:p>
        </w:tc>
        <w:tc>
          <w:tcPr>
            <w:tcW w:w="23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BC35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防火墙</w:t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*3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、内网防火墙</w:t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*2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互联网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防火墙</w:t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*1</w:t>
            </w:r>
          </w:p>
        </w:tc>
        <w:tc>
          <w:tcPr>
            <w:tcW w:w="388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669A5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auto"/>
                <w:sz w:val="24"/>
                <w:szCs w:val="24"/>
                <w:lang w:val="en-US" w:eastAsia="zh-CN"/>
              </w:rPr>
              <w:t>提供云智订阅、云威胁情报网关订阅，需兼容AF8.0.7及以上版本</w:t>
            </w:r>
          </w:p>
        </w:tc>
      </w:tr>
    </w:tbl>
    <w:p w14:paraId="6A1DE932">
      <w:pPr>
        <w:spacing w:line="460" w:lineRule="exact"/>
        <w:rPr>
          <w:rFonts w:hint="eastAsia" w:asciiTheme="minorEastAsia" w:hAnsiTheme="minorEastAsia" w:cstheme="minorEastAsia"/>
          <w:b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</w:rPr>
        <w:t>三、技术要求</w:t>
      </w:r>
    </w:p>
    <w:p w14:paraId="5730F565">
      <w:pPr>
        <w:spacing w:line="460" w:lineRule="exact"/>
        <w:rPr>
          <w:rFonts w:hint="eastAsia"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1、</w:t>
      </w:r>
      <w:r>
        <w:rPr>
          <w:rFonts w:hint="eastAsia" w:asciiTheme="minorEastAsia" w:hAnsiTheme="minorEastAsia" w:cstheme="minorEastAsia"/>
          <w:color w:val="auto"/>
          <w:sz w:val="24"/>
        </w:rPr>
        <w:t>兼容性要求：所有升级服务需与医院现有网络安全设备完全兼容，不得因升级导致设备无法正常运行或功能失效。</w:t>
      </w:r>
    </w:p>
    <w:p w14:paraId="0BDA3CE1">
      <w:pPr>
        <w:spacing w:line="460" w:lineRule="exact"/>
        <w:rPr>
          <w:rFonts w:hint="eastAsia"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2、</w:t>
      </w:r>
      <w:r>
        <w:rPr>
          <w:rFonts w:hint="eastAsia" w:asciiTheme="minorEastAsia" w:hAnsiTheme="minorEastAsia" w:cstheme="minorEastAsia"/>
          <w:color w:val="auto"/>
          <w:sz w:val="24"/>
        </w:rPr>
        <w:t>更新时效性：特征库/规则库升级需确保与最新网络威胁同步，更新延迟不超过24小时；软件版本升级需包含近1年内发布的关键功能补丁。</w:t>
      </w:r>
    </w:p>
    <w:p w14:paraId="7D63F5B3">
      <w:pPr>
        <w:spacing w:line="460" w:lineRule="exact"/>
        <w:rPr>
          <w:rFonts w:hint="eastAsia"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3、</w:t>
      </w:r>
      <w:r>
        <w:rPr>
          <w:rFonts w:hint="eastAsia" w:asciiTheme="minorEastAsia" w:hAnsiTheme="minorEastAsia" w:cstheme="minorEastAsia"/>
          <w:color w:val="auto"/>
          <w:sz w:val="24"/>
        </w:rPr>
        <w:t>防护有效性：安全防护模块升级后，网关杀毒检出率需≥99.5%，IPS漏洞防护需覆盖CVE近3年高危漏洞库。</w:t>
      </w:r>
    </w:p>
    <w:p w14:paraId="0B1AC2FA">
      <w:pPr>
        <w:spacing w:line="460" w:lineRule="exact"/>
        <w:rPr>
          <w:rFonts w:hint="eastAsia"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4、</w:t>
      </w:r>
      <w:r>
        <w:rPr>
          <w:rFonts w:hint="eastAsia" w:asciiTheme="minorEastAsia" w:hAnsiTheme="minorEastAsia" w:cstheme="minorEastAsia"/>
          <w:color w:val="auto"/>
          <w:sz w:val="24"/>
        </w:rPr>
        <w:t>稳定性要求：升级服务实施过程中需避免网络中断，单次升级窗口需控制在医院非业务高峰时段（如凌晨00:00-06:00），且需提前3个工作日提交升级方案及应急预案。</w:t>
      </w:r>
    </w:p>
    <w:p w14:paraId="60E8F17B">
      <w:pPr>
        <w:spacing w:line="460" w:lineRule="exact"/>
        <w:rPr>
          <w:rFonts w:hint="eastAsia" w:asciiTheme="minorEastAsia" w:hAnsiTheme="minorEastAsia" w:cstheme="minorEastAsia"/>
          <w:b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</w:rPr>
        <w:t>四、服务要求</w:t>
      </w:r>
    </w:p>
    <w:p w14:paraId="6D5D4933">
      <w:pPr>
        <w:spacing w:line="460" w:lineRule="exact"/>
        <w:rPr>
          <w:rFonts w:hint="eastAsia"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1、</w:t>
      </w:r>
      <w:r>
        <w:rPr>
          <w:rFonts w:hint="eastAsia" w:asciiTheme="minorEastAsia" w:hAnsiTheme="minorEastAsia" w:cstheme="minorEastAsia"/>
          <w:color w:val="auto"/>
          <w:sz w:val="24"/>
        </w:rPr>
        <w:t>响应时效：技术支持需满足7x24小时响应，远程故障处理需在1小时内启动，重大故障（如设备宕机、防护失效）需在4小时内提供现场支持。</w:t>
      </w:r>
    </w:p>
    <w:p w14:paraId="12021900">
      <w:pPr>
        <w:spacing w:line="460" w:lineRule="exact"/>
        <w:rPr>
          <w:rFonts w:hint="eastAsia"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2、</w:t>
      </w:r>
      <w:r>
        <w:rPr>
          <w:rFonts w:hint="eastAsia" w:asciiTheme="minorEastAsia" w:hAnsiTheme="minorEastAsia" w:cstheme="minorEastAsia"/>
          <w:color w:val="auto"/>
          <w:sz w:val="24"/>
        </w:rPr>
        <w:t>服务报告：提交《网络安全升级服务报告》，含升级执行记录、威胁识别数据、设备运行状态分析等情况。</w:t>
      </w:r>
    </w:p>
    <w:p w14:paraId="25B060E4">
      <w:pPr>
        <w:spacing w:line="460" w:lineRule="exact"/>
        <w:rPr>
          <w:rFonts w:hint="eastAsia"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3、</w:t>
      </w:r>
      <w:r>
        <w:rPr>
          <w:rFonts w:hint="eastAsia" w:asciiTheme="minorEastAsia" w:hAnsiTheme="minorEastAsia" w:cstheme="minorEastAsia"/>
          <w:color w:val="auto"/>
          <w:sz w:val="24"/>
        </w:rPr>
        <w:t>人员资质：服务团队成员需具备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原</w:t>
      </w:r>
      <w:r>
        <w:rPr>
          <w:rFonts w:hint="eastAsia" w:asciiTheme="minorEastAsia" w:hAnsiTheme="minorEastAsia" w:cstheme="minorEastAsia"/>
          <w:color w:val="auto"/>
          <w:sz w:val="24"/>
        </w:rPr>
        <w:t>厂家认证工程师资质（如SCS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SS</w:t>
      </w:r>
      <w:r>
        <w:rPr>
          <w:rFonts w:hint="eastAsia" w:asciiTheme="minorEastAsia" w:hAnsiTheme="minorEastAsia" w:cstheme="minorEastAsia"/>
          <w:color w:val="auto"/>
          <w:sz w:val="24"/>
        </w:rPr>
        <w:t>/SCS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A</w:t>
      </w:r>
      <w:r>
        <w:rPr>
          <w:rFonts w:hint="eastAsia" w:asciiTheme="minorEastAsia" w:hAnsiTheme="minorEastAsia" w:cstheme="minorEastAsia"/>
          <w:color w:val="auto"/>
          <w:sz w:val="24"/>
        </w:rPr>
        <w:t>），且核心技术人员服务经验不低于3年。</w:t>
      </w:r>
    </w:p>
    <w:p w14:paraId="2B1F7225">
      <w:pPr>
        <w:spacing w:line="460" w:lineRule="exact"/>
        <w:rPr>
          <w:rFonts w:hint="eastAsia"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4、</w:t>
      </w:r>
      <w:r>
        <w:rPr>
          <w:rFonts w:hint="eastAsia" w:asciiTheme="minorEastAsia" w:hAnsiTheme="minorEastAsia" w:cstheme="minorEastAsia"/>
          <w:color w:val="auto"/>
          <w:sz w:val="24"/>
        </w:rPr>
        <w:t>培训服务：免费提供针对医院IT运维人员的升级服务操作培训，确保运维人员可独立查看升级状态及基础故障排查。</w:t>
      </w:r>
    </w:p>
    <w:p w14:paraId="35574A99">
      <w:pPr>
        <w:spacing w:line="460" w:lineRule="exact"/>
        <w:rPr>
          <w:rFonts w:hint="eastAsia" w:asciiTheme="minorEastAsia" w:hAnsiTheme="minorEastAsia" w:cstheme="minorEastAsia"/>
          <w:b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</w:rPr>
        <w:t>五、商务要求</w:t>
      </w:r>
    </w:p>
    <w:p w14:paraId="38F029A1">
      <w:pPr>
        <w:spacing w:line="460" w:lineRule="exact"/>
        <w:rPr>
          <w:rFonts w:hint="eastAsia"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1、</w:t>
      </w:r>
      <w:r>
        <w:rPr>
          <w:rFonts w:hint="eastAsia" w:asciiTheme="minorEastAsia" w:hAnsiTheme="minorEastAsia" w:cstheme="minorEastAsia"/>
          <w:color w:val="auto"/>
          <w:sz w:val="24"/>
        </w:rPr>
        <w:t>预算上限：本项目总预算为98000元（大写：人民币玖万捌仟元整），投标报价不得超过此金额。</w:t>
      </w:r>
    </w:p>
    <w:p w14:paraId="128C4AD9">
      <w:pPr>
        <w:spacing w:line="460" w:lineRule="exact"/>
        <w:rPr>
          <w:rFonts w:hint="eastAsia"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2、</w:t>
      </w:r>
      <w:r>
        <w:rPr>
          <w:rFonts w:hint="eastAsia" w:asciiTheme="minorEastAsia" w:hAnsiTheme="minorEastAsia" w:cstheme="minorEastAsia"/>
          <w:color w:val="auto"/>
          <w:sz w:val="24"/>
        </w:rPr>
        <w:t>付款方式：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安全设备升级</w:t>
      </w:r>
      <w:r>
        <w:rPr>
          <w:rFonts w:hint="eastAsia" w:asciiTheme="minorEastAsia" w:hAnsiTheme="minorEastAsia" w:cstheme="minorEastAsia"/>
          <w:color w:val="auto"/>
          <w:sz w:val="24"/>
        </w:rPr>
        <w:t>验收合格后30个工作日内，采购单位支付合同总金额的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50%，平稳运行6个月后，30个工作日内采购单位支付合同剩余的50%金额</w:t>
      </w:r>
      <w:r>
        <w:rPr>
          <w:rFonts w:hint="eastAsia" w:asciiTheme="minorEastAsia" w:hAnsiTheme="minorEastAsia" w:cstheme="minorEastAsia"/>
          <w:color w:val="auto"/>
          <w:sz w:val="24"/>
        </w:rPr>
        <w:t>。</w:t>
      </w:r>
    </w:p>
    <w:p w14:paraId="06AC04F2">
      <w:pPr>
        <w:spacing w:line="460" w:lineRule="exact"/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3、</w:t>
      </w:r>
      <w:r>
        <w:rPr>
          <w:rFonts w:hint="eastAsia" w:asciiTheme="minorEastAsia" w:hAnsiTheme="minorEastAsia" w:cstheme="minorEastAsia"/>
          <w:color w:val="auto"/>
          <w:sz w:val="24"/>
        </w:rPr>
        <w:t>服务期限：服务周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期自双方签订合同且升级服务部署完成之日起算1年。</w:t>
      </w:r>
    </w:p>
    <w:p w14:paraId="6BBFD854">
      <w:pPr>
        <w:spacing w:line="460" w:lineRule="exact"/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4、</w:t>
      </w:r>
      <w:r>
        <w:rPr>
          <w:rFonts w:hint="eastAsia" w:ascii="微软雅黑" w:hAnsi="微软雅黑" w:eastAsia="微软雅黑" w:cs="微软雅黑"/>
          <w:color w:val="auto"/>
          <w:sz w:val="24"/>
          <w:lang w:val="en-US" w:eastAsia="zh-CN"/>
        </w:rPr>
        <w:t>★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成交供应商在响应本项目时，需提供原厂家售后服务授权承诺函，若在签订合同前未能提供该授权书，成交供应商自愿主动放弃本项目成交资格。</w:t>
      </w:r>
      <w:bookmarkStart w:id="0" w:name="_GoBack"/>
      <w:bookmarkEnd w:id="0"/>
    </w:p>
    <w:p w14:paraId="65AA614D">
      <w:pPr>
        <w:spacing w:line="460" w:lineRule="exact"/>
        <w:rPr>
          <w:rFonts w:hint="eastAsia" w:asciiTheme="minorEastAsia" w:hAnsiTheme="minorEastAsia" w:cstheme="minorEastAsia"/>
          <w:b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</w:rPr>
        <w:t>六、验收标准</w:t>
      </w:r>
    </w:p>
    <w:p w14:paraId="12A8FB45">
      <w:pPr>
        <w:spacing w:line="460" w:lineRule="exact"/>
        <w:rPr>
          <w:rFonts w:hint="eastAsia"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1、</w:t>
      </w:r>
      <w:r>
        <w:rPr>
          <w:rFonts w:hint="eastAsia" w:asciiTheme="minorEastAsia" w:hAnsiTheme="minorEastAsia" w:cstheme="minorEastAsia"/>
          <w:color w:val="auto"/>
          <w:sz w:val="24"/>
        </w:rPr>
        <w:t>功能验收：升级完成后，所有设备需正常运行，软件版本、特征库版本需与投标文件承诺一致，防护模块功能可正常启用。</w:t>
      </w:r>
    </w:p>
    <w:p w14:paraId="30FE9710">
      <w:pPr>
        <w:spacing w:line="460" w:lineRule="exact"/>
        <w:rPr>
          <w:rFonts w:hint="eastAsia"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2、</w:t>
      </w:r>
      <w:r>
        <w:rPr>
          <w:rFonts w:hint="eastAsia" w:asciiTheme="minorEastAsia" w:hAnsiTheme="minorEastAsia" w:cstheme="minorEastAsia"/>
          <w:color w:val="auto"/>
          <w:sz w:val="24"/>
        </w:rPr>
        <w:t>服务验收：依据《网络安全升级服务报告》，核查服务响应时效、故障处理完成率（需100%）、升级执行率（需100%）。</w:t>
      </w:r>
    </w:p>
    <w:p w14:paraId="67CAF032">
      <w:pPr>
        <w:spacing w:line="460" w:lineRule="exact"/>
        <w:rPr>
          <w:rFonts w:hint="eastAsia"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3、</w:t>
      </w:r>
      <w:r>
        <w:rPr>
          <w:rFonts w:hint="eastAsia" w:asciiTheme="minorEastAsia" w:hAnsiTheme="minorEastAsia" w:cstheme="minorEastAsia"/>
          <w:color w:val="auto"/>
          <w:sz w:val="24"/>
        </w:rPr>
        <w:t>稳定性验收：服务期内，因升级服务导致的设备故障次数不得超过2次，单次故障修复时间不得超过6小时。</w:t>
      </w:r>
    </w:p>
    <w:p w14:paraId="3413883E">
      <w:pPr>
        <w:spacing w:line="460" w:lineRule="exact"/>
        <w:rPr>
          <w:rFonts w:hint="eastAsia" w:asciiTheme="minorEastAsia" w:hAnsiTheme="minorEastAsia" w:cstheme="minorEastAsia"/>
          <w:color w:val="auto"/>
          <w:sz w:val="24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E96494F"/>
    <w:rsid w:val="002D76B9"/>
    <w:rsid w:val="008225BD"/>
    <w:rsid w:val="00D70137"/>
    <w:rsid w:val="00FB4513"/>
    <w:rsid w:val="08561F5C"/>
    <w:rsid w:val="0D5200CF"/>
    <w:rsid w:val="12C34BCE"/>
    <w:rsid w:val="15C42D02"/>
    <w:rsid w:val="1B4F7512"/>
    <w:rsid w:val="1C662D65"/>
    <w:rsid w:val="242D3C66"/>
    <w:rsid w:val="245409B7"/>
    <w:rsid w:val="2C9B3059"/>
    <w:rsid w:val="3A103A20"/>
    <w:rsid w:val="3B4B164C"/>
    <w:rsid w:val="3E0A4477"/>
    <w:rsid w:val="4812704D"/>
    <w:rsid w:val="490A26AF"/>
    <w:rsid w:val="49793828"/>
    <w:rsid w:val="4A4E6A63"/>
    <w:rsid w:val="63862E91"/>
    <w:rsid w:val="6E96494F"/>
    <w:rsid w:val="6F372946"/>
    <w:rsid w:val="726E4910"/>
    <w:rsid w:val="7663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1425</Words>
  <Characters>1517</Characters>
  <Lines>77</Lines>
  <Paragraphs>88</Paragraphs>
  <TotalTime>6</TotalTime>
  <ScaleCrop>false</ScaleCrop>
  <LinksUpToDate>false</LinksUpToDate>
  <CharactersWithSpaces>1517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2026-03-13T03:25:00Z</dcterms:created>
  <dc:creator>Administrator</dc:creator>
  <cp:lastModifiedBy>黄绪政</cp:lastModifiedBy>
  <dcterms:modified xsi:type="dcterms:W3CDTF">2026-03-19T01:50:18Z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5A258AF79CA9472797EED12BD1B93B7C_13</vt:lpwstr>
  </property>
  <property fmtid="{D5CDD505-2E9C-101B-9397-08002B2CF9AE}" pid="4" name="KSOTemplateDocerSaveRecord">
    <vt:lpwstr>eyJoZGlkIjoiZjk2MmY0NTkyM2NlZmNiNjNjODEzOTI4MTZjYzcwZGEiLCJ1c2VySWQiOiI0MTEwNjE1MDYifQ==</vt:lpwstr>
  </property>
</Properties>
</file>