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476DF7"/>
        <w:spacing w:beforeAutospacing="0" w:afterAutospacing="0"/>
        <w:jc w:val="center"/>
        <w:rPr>
          <w:rFonts w:ascii="微软雅黑" w:hAnsi="微软雅黑" w:eastAsia="微软雅黑" w:cs="微软雅黑"/>
          <w:color w:val="FFFFFF"/>
          <w:sz w:val="30"/>
          <w:szCs w:val="30"/>
        </w:rPr>
      </w:pPr>
      <w:r>
        <w:rPr>
          <w:rFonts w:ascii="微软雅黑" w:hAnsi="微软雅黑" w:eastAsia="微软雅黑" w:cs="微软雅黑"/>
          <w:color w:val="FFFFFF"/>
          <w:sz w:val="30"/>
          <w:szCs w:val="30"/>
          <w:shd w:val="clear" w:color="auto" w:fill="476DF7"/>
        </w:rPr>
        <w:t>成瘾医学科简介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中山市第三人民医院成瘾医学科始创于2017年，是省内较早开展成瘾相关临床诊治工作的机构之一。科室目前是中山市第三人民医院培育重点专科、广东省自愿戒毒医院，华南成瘾医学联盟单位。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目前科室设置床位93张，VIP房3间，共有医护工作人员共21人。其中高级职称3名，中级职称7名，初级职称11名。拥有西门子1.5T超导磁共振成像仪（MRI）、32排计算机X线断层扫描仪（CT）、直接数字化X线摄影系统(DR)、佳能全身高端彩超诊断仪，经颅多普勒血流分析仪（TCD）、数字化多通道心电图机、动态心电记录仪、日本光电脑电图仪、64导Neuroscan ERP仪等先进设备，开展药物治疗、物理治疗、心理治疗三位一体的综合治疗手段。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临床诊疗方面现开展：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1.酒依赖(饮酒成瘾)的戒断治疗及其所导致的相关精神障碍的治疗；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2.“止咳水”成瘾(可待因依赖)的戒除和抗复饮治疗；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3.其他药物滥用成瘾的戒断治疗，如安眠药、曲马多、美沙酚、地芬诺酯成瘾等的戒断治疗；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4.摇头丸、冰毒、K粉和大麻等物质滥用和依赖及其所导致的精神症状的治疗；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5.吸烟成瘾者(烟草依赖)的戒烟治疗；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6.病理性赌博，手机、网络不当使用的综合干预等；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7.其他精神疾病的治疗。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近几年成瘾医学科先后承担/参与的省、市级科研课题十余项，已发表高质量学术论文十余篇，被包括ALCOHOL、Brain Research等专业领域的SCI期刊收录。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专科门诊（南朗总院）: 每周三、周五上午（8:30-12:00）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专科门诊（石歧门诊）: 每周三全天（8:30-12:00 14:00-17:00）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专科心理门诊（南朗总院）: 每周二下午（14:00-17:00）</w:t>
      </w:r>
    </w:p>
    <w:p>
      <w:pPr>
        <w:pStyle w:val="5"/>
        <w:widowControl/>
        <w:spacing w:beforeAutospacing="0" w:afterAutospacing="0" w:line="500" w:lineRule="exact"/>
        <w:ind w:firstLine="480" w:firstLineChars="20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联系电话：0760-85529268(医生办)   0760-85529286(护士站)</w:t>
      </w:r>
      <w:bookmarkStart w:id="0" w:name="_GoBack"/>
      <w:bookmarkEnd w:id="0"/>
    </w:p>
    <w:p>
      <w:pPr>
        <w:jc w:val="center"/>
        <w:rPr>
          <w:rFonts w:ascii="楷体_GB2312" w:eastAsia="楷体_GB2312"/>
          <w:b/>
          <w:bCs/>
          <w:sz w:val="52"/>
          <w:szCs w:val="56"/>
        </w:rPr>
      </w:pPr>
      <w:r>
        <w:rPr>
          <w:rFonts w:hint="eastAsia" w:ascii="楷体_GB2312" w:eastAsia="楷体_GB2312"/>
          <w:b/>
          <w:bCs/>
          <w:sz w:val="52"/>
          <w:szCs w:val="56"/>
        </w:rPr>
        <w:t>特色治疗活动</w:t>
      </w: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86360</wp:posOffset>
            </wp:positionV>
            <wp:extent cx="5068570" cy="3021965"/>
            <wp:effectExtent l="0" t="0" r="0" b="6985"/>
            <wp:wrapNone/>
            <wp:docPr id="1612436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3613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041" cy="3027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</w:p>
    <w:p>
      <w:pPr>
        <w:ind w:firstLine="2530" w:firstLineChars="700"/>
        <w:rPr>
          <w:rFonts w:ascii="楷体_GB2312" w:eastAsia="楷体_GB2312"/>
          <w:b/>
          <w:bCs/>
          <w:sz w:val="36"/>
          <w:szCs w:val="40"/>
        </w:rPr>
      </w:pPr>
      <w:r>
        <w:rPr>
          <w:rFonts w:hint="eastAsia" w:ascii="楷体_GB2312" w:eastAsia="楷体_GB2312"/>
          <w:b/>
          <w:bCs/>
          <w:sz w:val="36"/>
          <w:szCs w:val="40"/>
        </w:rPr>
        <w:t xml:space="preserve"> 1.团体心理治疗</w:t>
      </w: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  <w:r>
        <w:rPr>
          <w:rFonts w:hint="eastAsia" w:ascii="楷体_GB2312" w:eastAsia="楷体_GB2312"/>
          <w:b/>
          <w:bCs/>
          <w:sz w:val="36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259080</wp:posOffset>
            </wp:positionV>
            <wp:extent cx="5068570" cy="3300095"/>
            <wp:effectExtent l="0" t="0" r="0" b="0"/>
            <wp:wrapNone/>
            <wp:docPr id="156257644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76442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897" cy="330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  <w:r>
        <w:rPr>
          <w:rFonts w:hint="eastAsia" w:ascii="楷体_GB2312" w:eastAsia="楷体_GB2312"/>
          <w:b/>
          <w:bCs/>
          <w:sz w:val="36"/>
          <w:szCs w:val="40"/>
        </w:rPr>
        <w:t xml:space="preserve">   2.生物反馈治疗</w:t>
      </w: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210820</wp:posOffset>
            </wp:positionV>
            <wp:extent cx="5274310" cy="2863215"/>
            <wp:effectExtent l="0" t="0" r="2540" b="0"/>
            <wp:wrapNone/>
            <wp:docPr id="167754010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4010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  <w:r>
        <w:rPr>
          <w:rFonts w:hint="eastAsia" w:ascii="楷体_GB2312" w:eastAsia="楷体_GB2312"/>
          <w:b/>
          <w:bCs/>
          <w:sz w:val="36"/>
          <w:szCs w:val="40"/>
        </w:rPr>
        <w:t>3.重复经颅磁治疗</w:t>
      </w: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42545</wp:posOffset>
            </wp:positionV>
            <wp:extent cx="5274310" cy="3954145"/>
            <wp:effectExtent l="0" t="0" r="2540" b="8255"/>
            <wp:wrapNone/>
            <wp:docPr id="66228528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85287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bCs/>
          <w:sz w:val="36"/>
          <w:szCs w:val="40"/>
        </w:rPr>
      </w:pPr>
      <w:r>
        <w:rPr>
          <w:rFonts w:hint="eastAsia" w:ascii="楷体_GB2312" w:eastAsia="楷体_GB2312"/>
          <w:b/>
          <w:bCs/>
          <w:sz w:val="36"/>
          <w:szCs w:val="40"/>
        </w:rPr>
        <w:t>4.正念训练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2NzQwMWNhZTIyZjc2MGJhMTE3NDc1ZTlmZWE3MjEifQ=="/>
  </w:docVars>
  <w:rsids>
    <w:rsidRoot w:val="006C2389"/>
    <w:rsid w:val="00273305"/>
    <w:rsid w:val="005B63CF"/>
    <w:rsid w:val="006C2389"/>
    <w:rsid w:val="0081575E"/>
    <w:rsid w:val="008645CD"/>
    <w:rsid w:val="00B931AE"/>
    <w:rsid w:val="00E41A49"/>
    <w:rsid w:val="18436EAD"/>
    <w:rsid w:val="729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725</Characters>
  <Lines>6</Lines>
  <Paragraphs>1</Paragraphs>
  <TotalTime>6</TotalTime>
  <ScaleCrop>false</ScaleCrop>
  <LinksUpToDate>false</LinksUpToDate>
  <CharactersWithSpaces>851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2024-09-24T07:32:00Z</dcterms:created>
  <dc:creator>Administrator</dc:creator>
  <cp:lastModifiedBy>biubiubiu</cp:lastModifiedBy>
  <dcterms:modified xsi:type="dcterms:W3CDTF">2024-10-11T02:04:23Z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90388B1DF782427C919EA4189A3BA6E8_12</vt:lpwstr>
  </property>
</Properties>
</file>